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3F2F" w14:textId="77777777" w:rsidR="000A5CD2" w:rsidRPr="0057490E" w:rsidRDefault="000A5CD2" w:rsidP="000A5CD2">
      <w:pPr>
        <w:rPr>
          <w:szCs w:val="24"/>
        </w:rPr>
      </w:pPr>
      <w:r w:rsidRPr="0057490E">
        <w:rPr>
          <w:b/>
          <w:bCs/>
          <w:szCs w:val="24"/>
        </w:rPr>
        <w:t>Amendments to the Kentucky Supreme Court Rules Effective April 1, 2022</w:t>
      </w:r>
    </w:p>
    <w:p w14:paraId="59C4B52E" w14:textId="77777777" w:rsidR="000A5CD2" w:rsidRPr="0057490E" w:rsidRDefault="000A5CD2" w:rsidP="000A5CD2">
      <w:pPr>
        <w:rPr>
          <w:szCs w:val="24"/>
        </w:rPr>
      </w:pPr>
    </w:p>
    <w:p w14:paraId="6A678E02" w14:textId="42BC7EE8" w:rsidR="000A5CD2" w:rsidRPr="0057490E" w:rsidRDefault="000A5CD2" w:rsidP="000A5CD2">
      <w:pPr>
        <w:rPr>
          <w:szCs w:val="24"/>
        </w:rPr>
      </w:pPr>
      <w:r w:rsidRPr="0057490E">
        <w:rPr>
          <w:szCs w:val="24"/>
        </w:rPr>
        <w:t xml:space="preserve">The Kentucky Supreme Court announced </w:t>
      </w:r>
      <w:hyperlink r:id="rId5" w:history="1">
        <w:r w:rsidRPr="0057490E">
          <w:rPr>
            <w:rStyle w:val="Hyperlink"/>
            <w:szCs w:val="24"/>
          </w:rPr>
          <w:t>several proposed amendments to the rules have been approved and became effective on April 1, 2022</w:t>
        </w:r>
      </w:hyperlink>
      <w:r w:rsidRPr="0057490E">
        <w:rPr>
          <w:szCs w:val="24"/>
        </w:rPr>
        <w:t xml:space="preserve">.  We encourage you to review and note any rules that impact your practice.  </w:t>
      </w:r>
      <w:r w:rsidR="00985F89" w:rsidRPr="0057490E">
        <w:rPr>
          <w:szCs w:val="24"/>
        </w:rPr>
        <w:t xml:space="preserve">For comparison with prior and new language, </w:t>
      </w:r>
      <w:hyperlink r:id="rId6" w:history="1">
        <w:r w:rsidR="00A83EF6">
          <w:rPr>
            <w:rStyle w:val="Hyperlink"/>
            <w:szCs w:val="24"/>
          </w:rPr>
          <w:t>you may a</w:t>
        </w:r>
        <w:r w:rsidR="00985F89" w:rsidRPr="0057490E">
          <w:rPr>
            <w:rStyle w:val="Hyperlink"/>
            <w:szCs w:val="24"/>
          </w:rPr>
          <w:t>lso take a look at the proposed amendments, here</w:t>
        </w:r>
      </w:hyperlink>
      <w:r w:rsidR="00985F89" w:rsidRPr="0057490E">
        <w:rPr>
          <w:szCs w:val="24"/>
        </w:rPr>
        <w:t xml:space="preserve">.  </w:t>
      </w:r>
      <w:r w:rsidRPr="0057490E">
        <w:rPr>
          <w:szCs w:val="24"/>
        </w:rPr>
        <w:t xml:space="preserve">To get you started, </w:t>
      </w:r>
      <w:r w:rsidRPr="0057490E">
        <w:rPr>
          <w:szCs w:val="24"/>
          <w:highlight w:val="yellow"/>
        </w:rPr>
        <w:t>we have highlighted the most significant changes</w:t>
      </w:r>
      <w:r w:rsidRPr="0057490E">
        <w:rPr>
          <w:szCs w:val="24"/>
        </w:rPr>
        <w:t>.</w:t>
      </w:r>
      <w:r w:rsidR="00985F89" w:rsidRPr="0057490E">
        <w:rPr>
          <w:szCs w:val="24"/>
        </w:rPr>
        <w:t xml:space="preserve">  </w:t>
      </w:r>
    </w:p>
    <w:p w14:paraId="6128099C" w14:textId="6D3918DC" w:rsidR="00DB40AD" w:rsidRPr="0057490E" w:rsidRDefault="00DB40AD">
      <w:pPr>
        <w:rPr>
          <w:szCs w:val="24"/>
        </w:rPr>
      </w:pPr>
    </w:p>
    <w:p w14:paraId="2757EFE3" w14:textId="427CB3E8" w:rsidR="00180BE8" w:rsidRPr="00D56202" w:rsidRDefault="00A83EF6">
      <w:pPr>
        <w:rPr>
          <w:szCs w:val="24"/>
          <w:u w:val="single"/>
        </w:rPr>
      </w:pPr>
      <w:hyperlink r:id="rId7" w:history="1">
        <w:r w:rsidR="00180BE8" w:rsidRPr="00D56202">
          <w:rPr>
            <w:rStyle w:val="Hyperlink"/>
            <w:szCs w:val="24"/>
          </w:rPr>
          <w:t>As discussed in LMICK Minute #16</w:t>
        </w:r>
      </w:hyperlink>
      <w:r w:rsidR="00180BE8" w:rsidRPr="00D56202">
        <w:rPr>
          <w:szCs w:val="24"/>
          <w:u w:val="single"/>
        </w:rPr>
        <w:t xml:space="preserve">, we had a handful of the amendments on our radar.  </w:t>
      </w:r>
    </w:p>
    <w:p w14:paraId="6CC3958C" w14:textId="264D1A44" w:rsidR="00180BE8" w:rsidRPr="0057490E" w:rsidRDefault="00180BE8">
      <w:pPr>
        <w:rPr>
          <w:szCs w:val="24"/>
        </w:rPr>
      </w:pPr>
    </w:p>
    <w:p w14:paraId="3E43B423" w14:textId="77777777" w:rsidR="00955632" w:rsidRDefault="0057490E" w:rsidP="00180BE8">
      <w:pPr>
        <w:pStyle w:val="ListParagraph"/>
        <w:numPr>
          <w:ilvl w:val="0"/>
          <w:numId w:val="2"/>
        </w:numPr>
        <w:rPr>
          <w:szCs w:val="24"/>
        </w:rPr>
      </w:pPr>
      <w:r w:rsidRPr="0057490E">
        <w:rPr>
          <w:szCs w:val="24"/>
        </w:rPr>
        <w:t xml:space="preserve">SCR </w:t>
      </w:r>
      <w:r w:rsidR="00180BE8" w:rsidRPr="0057490E">
        <w:rPr>
          <w:szCs w:val="24"/>
        </w:rPr>
        <w:t>3.130(5.8)</w:t>
      </w:r>
      <w:r w:rsidR="00985F89" w:rsidRPr="0057490E">
        <w:rPr>
          <w:szCs w:val="24"/>
        </w:rPr>
        <w:t xml:space="preserve"> Responsibilities regarding law related services </w:t>
      </w:r>
    </w:p>
    <w:p w14:paraId="76F566A9" w14:textId="7A618850" w:rsidR="00180BE8" w:rsidRDefault="00955632" w:rsidP="00955632">
      <w:pPr>
        <w:pStyle w:val="ListParagraph"/>
        <w:numPr>
          <w:ilvl w:val="1"/>
          <w:numId w:val="2"/>
        </w:numPr>
        <w:rPr>
          <w:szCs w:val="24"/>
        </w:rPr>
      </w:pPr>
      <w:r>
        <w:rPr>
          <w:szCs w:val="24"/>
        </w:rPr>
        <w:t xml:space="preserve">This new rule </w:t>
      </w:r>
      <w:r w:rsidR="00C54080" w:rsidRPr="0057490E">
        <w:rPr>
          <w:szCs w:val="24"/>
        </w:rPr>
        <w:t>was</w:t>
      </w:r>
      <w:r w:rsidR="00985F89" w:rsidRPr="0057490E">
        <w:rPr>
          <w:szCs w:val="24"/>
        </w:rPr>
        <w:t xml:space="preserve"> </w:t>
      </w:r>
      <w:r w:rsidR="00985F89" w:rsidRPr="0057490E">
        <w:rPr>
          <w:b/>
          <w:bCs/>
          <w:i/>
          <w:iCs/>
          <w:szCs w:val="24"/>
        </w:rPr>
        <w:t>adopted</w:t>
      </w:r>
      <w:r w:rsidR="00C54080" w:rsidRPr="0057490E">
        <w:rPr>
          <w:szCs w:val="24"/>
        </w:rPr>
        <w:t>.</w:t>
      </w:r>
    </w:p>
    <w:p w14:paraId="0AB76FE9" w14:textId="0CA9FE03" w:rsidR="00673803" w:rsidRPr="0057490E" w:rsidRDefault="00673803" w:rsidP="00955632">
      <w:pPr>
        <w:pStyle w:val="ListParagraph"/>
        <w:numPr>
          <w:ilvl w:val="1"/>
          <w:numId w:val="2"/>
        </w:numPr>
        <w:rPr>
          <w:szCs w:val="24"/>
        </w:rPr>
      </w:pPr>
      <w:r>
        <w:t xml:space="preserve">The rule applies to attorneys providing </w:t>
      </w:r>
      <w:r w:rsidRPr="00673803">
        <w:rPr>
          <w:i/>
          <w:iCs/>
        </w:rPr>
        <w:t>“</w:t>
      </w:r>
      <w:r w:rsidRPr="00673803">
        <w:rPr>
          <w:rStyle w:val="Strong"/>
          <w:b w:val="0"/>
          <w:bCs w:val="0"/>
          <w:i/>
          <w:iCs/>
        </w:rPr>
        <w:t>services that might reasonably be performed in conjunction with and in substance are related to the provision of legal services, and that are not prohibited as unauthorized practice of law when provided by a nonlawyer.</w:t>
      </w:r>
      <w:r w:rsidRPr="00673803">
        <w:rPr>
          <w:i/>
          <w:iCs/>
        </w:rPr>
        <w:t xml:space="preserve">” </w:t>
      </w:r>
      <w:r>
        <w:t xml:space="preserve"> The rule expand</w:t>
      </w:r>
      <w:r w:rsidR="00485BA0">
        <w:t>s</w:t>
      </w:r>
      <w:r>
        <w:t xml:space="preserve"> the Rules of Professional Conduct to apply to attorneys serving in roles outside of traditional legal services. The rule’s commentary indicates the intent is to prevent a client’s assumptions regarding an attorney’s duty when the attorney is acting in a role where no duty is owed.</w:t>
      </w:r>
    </w:p>
    <w:p w14:paraId="0C5F42D8" w14:textId="6FEFD919" w:rsidR="00180BE8" w:rsidRPr="0057490E" w:rsidRDefault="0057490E" w:rsidP="00180BE8">
      <w:pPr>
        <w:pStyle w:val="ListParagraph"/>
        <w:numPr>
          <w:ilvl w:val="0"/>
          <w:numId w:val="2"/>
        </w:numPr>
        <w:rPr>
          <w:szCs w:val="24"/>
        </w:rPr>
      </w:pPr>
      <w:r w:rsidRPr="0057490E">
        <w:rPr>
          <w:szCs w:val="24"/>
        </w:rPr>
        <w:t xml:space="preserve">SCR </w:t>
      </w:r>
      <w:r w:rsidR="00180BE8" w:rsidRPr="0057490E">
        <w:rPr>
          <w:szCs w:val="24"/>
        </w:rPr>
        <w:t>3.130(8.4)</w:t>
      </w:r>
      <w:r w:rsidR="00985F89" w:rsidRPr="0057490E">
        <w:rPr>
          <w:szCs w:val="24"/>
        </w:rPr>
        <w:t xml:space="preserve"> Misconduct</w:t>
      </w:r>
    </w:p>
    <w:p w14:paraId="5E71E511" w14:textId="6EA1A919" w:rsidR="00985F89" w:rsidRPr="0057490E" w:rsidRDefault="00C54080" w:rsidP="00985F89">
      <w:pPr>
        <w:pStyle w:val="ListParagraph"/>
        <w:numPr>
          <w:ilvl w:val="1"/>
          <w:numId w:val="2"/>
        </w:numPr>
        <w:rPr>
          <w:szCs w:val="24"/>
        </w:rPr>
      </w:pPr>
      <w:r w:rsidRPr="0057490E">
        <w:rPr>
          <w:szCs w:val="24"/>
        </w:rPr>
        <w:t>The p</w:t>
      </w:r>
      <w:r w:rsidR="00985F89" w:rsidRPr="0057490E">
        <w:rPr>
          <w:szCs w:val="24"/>
        </w:rPr>
        <w:t xml:space="preserve">roposed </w:t>
      </w:r>
      <w:r w:rsidRPr="0057490E">
        <w:rPr>
          <w:szCs w:val="24"/>
        </w:rPr>
        <w:t xml:space="preserve">new </w:t>
      </w:r>
      <w:r w:rsidR="00985F89" w:rsidRPr="0057490E">
        <w:rPr>
          <w:szCs w:val="24"/>
        </w:rPr>
        <w:t xml:space="preserve">section (f) </w:t>
      </w:r>
      <w:r w:rsidRPr="0057490E">
        <w:rPr>
          <w:szCs w:val="24"/>
        </w:rPr>
        <w:t>making it misconduct to “engage in conduct that is prejudicial to the administration of justice” was</w:t>
      </w:r>
      <w:r w:rsidR="00985F89" w:rsidRPr="0057490E">
        <w:rPr>
          <w:szCs w:val="24"/>
        </w:rPr>
        <w:t xml:space="preserve"> </w:t>
      </w:r>
      <w:r w:rsidR="00985F89" w:rsidRPr="0057490E">
        <w:rPr>
          <w:b/>
          <w:bCs/>
          <w:i/>
          <w:iCs/>
          <w:szCs w:val="24"/>
        </w:rPr>
        <w:t>not adopted</w:t>
      </w:r>
      <w:r w:rsidRPr="0057490E">
        <w:rPr>
          <w:szCs w:val="24"/>
        </w:rPr>
        <w:t>.</w:t>
      </w:r>
    </w:p>
    <w:p w14:paraId="4AE106FD" w14:textId="64A12BFA" w:rsidR="00C54080" w:rsidRPr="0057490E" w:rsidRDefault="00C54080" w:rsidP="00985F89">
      <w:pPr>
        <w:pStyle w:val="ListParagraph"/>
        <w:numPr>
          <w:ilvl w:val="1"/>
          <w:numId w:val="2"/>
        </w:numPr>
        <w:rPr>
          <w:szCs w:val="24"/>
        </w:rPr>
      </w:pPr>
      <w:r w:rsidRPr="0057490E">
        <w:rPr>
          <w:szCs w:val="24"/>
        </w:rPr>
        <w:t xml:space="preserve">The clarifying language to comment 2 was </w:t>
      </w:r>
      <w:r w:rsidRPr="0057490E">
        <w:rPr>
          <w:b/>
          <w:bCs/>
          <w:i/>
          <w:iCs/>
          <w:szCs w:val="24"/>
        </w:rPr>
        <w:t>adopted</w:t>
      </w:r>
      <w:r w:rsidRPr="0057490E">
        <w:rPr>
          <w:szCs w:val="24"/>
        </w:rPr>
        <w:t>.</w:t>
      </w:r>
    </w:p>
    <w:p w14:paraId="181FBD2D" w14:textId="797E2831" w:rsidR="00DF4986" w:rsidRPr="0057490E" w:rsidRDefault="0057490E" w:rsidP="00DF4986">
      <w:pPr>
        <w:pStyle w:val="ListParagraph"/>
        <w:numPr>
          <w:ilvl w:val="0"/>
          <w:numId w:val="2"/>
        </w:numPr>
        <w:rPr>
          <w:szCs w:val="24"/>
        </w:rPr>
      </w:pPr>
      <w:r w:rsidRPr="0057490E">
        <w:rPr>
          <w:szCs w:val="24"/>
        </w:rPr>
        <w:t xml:space="preserve">SCR </w:t>
      </w:r>
      <w:r w:rsidR="00180BE8" w:rsidRPr="0057490E">
        <w:rPr>
          <w:szCs w:val="24"/>
        </w:rPr>
        <w:t>3.130(1.1)</w:t>
      </w:r>
      <w:r w:rsidR="00BD6D77" w:rsidRPr="0057490E">
        <w:rPr>
          <w:szCs w:val="24"/>
        </w:rPr>
        <w:t xml:space="preserve"> </w:t>
      </w:r>
      <w:r w:rsidR="00985F89" w:rsidRPr="0057490E">
        <w:rPr>
          <w:szCs w:val="24"/>
        </w:rPr>
        <w:t>Competence</w:t>
      </w:r>
    </w:p>
    <w:p w14:paraId="1075ACD1" w14:textId="2C9B6E3D" w:rsidR="00180BE8" w:rsidRPr="0057490E" w:rsidRDefault="00DF4986" w:rsidP="00DF4986">
      <w:pPr>
        <w:pStyle w:val="ListParagraph"/>
        <w:numPr>
          <w:ilvl w:val="1"/>
          <w:numId w:val="2"/>
        </w:numPr>
        <w:rPr>
          <w:szCs w:val="24"/>
        </w:rPr>
      </w:pPr>
      <w:r w:rsidRPr="0057490E">
        <w:rPr>
          <w:szCs w:val="24"/>
        </w:rPr>
        <w:t xml:space="preserve">The </w:t>
      </w:r>
      <w:r w:rsidR="00985F89" w:rsidRPr="0057490E">
        <w:rPr>
          <w:szCs w:val="24"/>
        </w:rPr>
        <w:t>proposed</w:t>
      </w:r>
      <w:r w:rsidRPr="0057490E">
        <w:rPr>
          <w:szCs w:val="24"/>
        </w:rPr>
        <w:t xml:space="preserve"> commentary indicating an attorney’s well-being was one component of competence was </w:t>
      </w:r>
      <w:r w:rsidRPr="0057490E">
        <w:rPr>
          <w:b/>
          <w:bCs/>
          <w:i/>
          <w:iCs/>
          <w:szCs w:val="24"/>
        </w:rPr>
        <w:t>not</w:t>
      </w:r>
      <w:r w:rsidR="00BD6D77" w:rsidRPr="0057490E">
        <w:rPr>
          <w:b/>
          <w:bCs/>
          <w:i/>
          <w:iCs/>
          <w:szCs w:val="24"/>
        </w:rPr>
        <w:t xml:space="preserve"> </w:t>
      </w:r>
      <w:r w:rsidRPr="0057490E">
        <w:rPr>
          <w:b/>
          <w:bCs/>
          <w:i/>
          <w:iCs/>
          <w:szCs w:val="24"/>
        </w:rPr>
        <w:t>a</w:t>
      </w:r>
      <w:r w:rsidR="00BD6D77" w:rsidRPr="0057490E">
        <w:rPr>
          <w:b/>
          <w:bCs/>
          <w:i/>
          <w:iCs/>
          <w:szCs w:val="24"/>
        </w:rPr>
        <w:t>dopted</w:t>
      </w:r>
      <w:r w:rsidRPr="0057490E">
        <w:rPr>
          <w:szCs w:val="24"/>
        </w:rPr>
        <w:t>.</w:t>
      </w:r>
    </w:p>
    <w:p w14:paraId="0D019802" w14:textId="77777777" w:rsidR="00180BE8" w:rsidRPr="0057490E" w:rsidRDefault="00180BE8">
      <w:pPr>
        <w:rPr>
          <w:szCs w:val="24"/>
        </w:rPr>
      </w:pPr>
    </w:p>
    <w:p w14:paraId="427BA410" w14:textId="7F612EC5" w:rsidR="00EF0881" w:rsidRPr="00D56202" w:rsidRDefault="00DF4986">
      <w:pPr>
        <w:rPr>
          <w:szCs w:val="24"/>
          <w:u w:val="single"/>
        </w:rPr>
      </w:pPr>
      <w:r w:rsidRPr="00D56202">
        <w:rPr>
          <w:szCs w:val="24"/>
          <w:u w:val="single"/>
        </w:rPr>
        <w:t>Other adopted amendments of note include:</w:t>
      </w:r>
    </w:p>
    <w:p w14:paraId="1AAF0B99" w14:textId="77777777" w:rsidR="00180BE8" w:rsidRPr="0057490E" w:rsidRDefault="00180BE8">
      <w:pPr>
        <w:rPr>
          <w:szCs w:val="24"/>
        </w:rPr>
      </w:pPr>
    </w:p>
    <w:p w14:paraId="07969D59" w14:textId="07D0B3D6" w:rsidR="00EF0881" w:rsidRPr="0057490E" w:rsidRDefault="00EF0881" w:rsidP="00EF0881">
      <w:pPr>
        <w:pStyle w:val="ListParagraph"/>
        <w:numPr>
          <w:ilvl w:val="0"/>
          <w:numId w:val="1"/>
        </w:numPr>
        <w:rPr>
          <w:rStyle w:val="markedcontent"/>
          <w:szCs w:val="24"/>
        </w:rPr>
      </w:pPr>
      <w:r w:rsidRPr="0057490E">
        <w:rPr>
          <w:rStyle w:val="markedcontent"/>
          <w:rFonts w:cs="Arial"/>
          <w:szCs w:val="24"/>
        </w:rPr>
        <w:t>SCR 3.023 Disclosure of Professional Liability Insurance</w:t>
      </w:r>
      <w:r w:rsidR="0057490E">
        <w:rPr>
          <w:rStyle w:val="markedcontent"/>
          <w:rFonts w:cs="Arial"/>
          <w:szCs w:val="24"/>
        </w:rPr>
        <w:t xml:space="preserve"> </w:t>
      </w:r>
    </w:p>
    <w:p w14:paraId="6C8FCD0A" w14:textId="505F910B" w:rsidR="0057490E" w:rsidRPr="0057490E" w:rsidRDefault="0057490E" w:rsidP="0057490E">
      <w:pPr>
        <w:pStyle w:val="ListParagraph"/>
        <w:numPr>
          <w:ilvl w:val="1"/>
          <w:numId w:val="1"/>
        </w:numPr>
        <w:rPr>
          <w:rStyle w:val="markedcontent"/>
          <w:szCs w:val="24"/>
        </w:rPr>
      </w:pPr>
      <w:r>
        <w:rPr>
          <w:rStyle w:val="markedcontent"/>
          <w:rFonts w:cs="Arial"/>
          <w:szCs w:val="24"/>
        </w:rPr>
        <w:t>The rule was amended to impose a $50.00 late fee for any attorney not complying with disclosure requirements by October 1 each year.</w:t>
      </w:r>
    </w:p>
    <w:p w14:paraId="05C2A6C9" w14:textId="77777777" w:rsidR="00E35084" w:rsidRPr="00AA3F81" w:rsidRDefault="00E35084" w:rsidP="00E35084">
      <w:pPr>
        <w:pStyle w:val="ListParagraph"/>
        <w:numPr>
          <w:ilvl w:val="0"/>
          <w:numId w:val="1"/>
        </w:numPr>
        <w:rPr>
          <w:rStyle w:val="markedcontent"/>
          <w:szCs w:val="24"/>
        </w:rPr>
      </w:pPr>
      <w:r w:rsidRPr="00AA3F81">
        <w:rPr>
          <w:rStyle w:val="markedcontent"/>
          <w:rFonts w:cs="Arial"/>
          <w:szCs w:val="24"/>
        </w:rPr>
        <w:t>SCR 3.150 Access to disciplinary information</w:t>
      </w:r>
    </w:p>
    <w:p w14:paraId="3DD9BA8D" w14:textId="136C129B" w:rsidR="00E504D8" w:rsidRDefault="00E504D8" w:rsidP="00E35084">
      <w:pPr>
        <w:pStyle w:val="ListParagraph"/>
        <w:numPr>
          <w:ilvl w:val="1"/>
          <w:numId w:val="1"/>
        </w:numPr>
        <w:rPr>
          <w:rStyle w:val="markedcontent"/>
          <w:szCs w:val="24"/>
        </w:rPr>
      </w:pPr>
      <w:r>
        <w:rPr>
          <w:rStyle w:val="markedcontent"/>
          <w:szCs w:val="24"/>
        </w:rPr>
        <w:t>These amendments make disciplinary proceedings public after “</w:t>
      </w:r>
      <w:r w:rsidRPr="00E504D8">
        <w:rPr>
          <w:rStyle w:val="markedcontent"/>
          <w:i/>
          <w:iCs/>
          <w:szCs w:val="24"/>
        </w:rPr>
        <w:t>the filing of a verified answer to a charge or, in the case of default, (30) days following service on the Respondent.</w:t>
      </w:r>
      <w:r>
        <w:rPr>
          <w:rStyle w:val="markedcontent"/>
          <w:szCs w:val="24"/>
        </w:rPr>
        <w:t>”  This is a change from the prior rules which kept disciplinary records confidential until a finding that a violation meriting public discipline had occurred.</w:t>
      </w:r>
    </w:p>
    <w:p w14:paraId="2E7444F8" w14:textId="77777777" w:rsidR="00F81758" w:rsidRPr="00F81758" w:rsidRDefault="00F81758" w:rsidP="00EF0881">
      <w:pPr>
        <w:pStyle w:val="ListParagraph"/>
        <w:numPr>
          <w:ilvl w:val="0"/>
          <w:numId w:val="1"/>
        </w:numPr>
        <w:rPr>
          <w:rStyle w:val="markedcontent"/>
          <w:szCs w:val="24"/>
        </w:rPr>
      </w:pPr>
      <w:r>
        <w:rPr>
          <w:rStyle w:val="markedcontent"/>
          <w:rFonts w:cs="Arial"/>
          <w:szCs w:val="24"/>
        </w:rPr>
        <w:t>Other disciplinary changes</w:t>
      </w:r>
    </w:p>
    <w:p w14:paraId="421E200E" w14:textId="27769E1C" w:rsidR="00137CCB" w:rsidRDefault="00137CCB" w:rsidP="00F81758">
      <w:pPr>
        <w:pStyle w:val="ListParagraph"/>
        <w:numPr>
          <w:ilvl w:val="1"/>
          <w:numId w:val="1"/>
        </w:numPr>
        <w:rPr>
          <w:rStyle w:val="markedcontent"/>
          <w:szCs w:val="24"/>
        </w:rPr>
      </w:pPr>
      <w:r>
        <w:rPr>
          <w:rStyle w:val="markedcontent"/>
          <w:szCs w:val="24"/>
        </w:rPr>
        <w:t>SCR 3.167</w:t>
      </w:r>
      <w:r w:rsidR="00D90A3B">
        <w:rPr>
          <w:rStyle w:val="markedcontent"/>
          <w:szCs w:val="24"/>
        </w:rPr>
        <w:t xml:space="preserve"> </w:t>
      </w:r>
      <w:r w:rsidR="00D90A3B" w:rsidRPr="00D90A3B">
        <w:rPr>
          <w:szCs w:val="24"/>
        </w:rPr>
        <w:t>Indefinite suspension in default cases or for failure to</w:t>
      </w:r>
      <w:r w:rsidR="00D90A3B" w:rsidRPr="00D90A3B">
        <w:rPr>
          <w:szCs w:val="24"/>
        </w:rPr>
        <w:br/>
        <w:t>participate after answer</w:t>
      </w:r>
    </w:p>
    <w:p w14:paraId="618B5FB5" w14:textId="760D3FB2" w:rsidR="00F81758" w:rsidRPr="00F81758" w:rsidRDefault="00D90A3B" w:rsidP="00137CCB">
      <w:pPr>
        <w:pStyle w:val="ListParagraph"/>
        <w:numPr>
          <w:ilvl w:val="2"/>
          <w:numId w:val="1"/>
        </w:numPr>
        <w:rPr>
          <w:rStyle w:val="markedcontent"/>
          <w:szCs w:val="24"/>
        </w:rPr>
      </w:pPr>
      <w:r>
        <w:rPr>
          <w:rStyle w:val="markedcontent"/>
          <w:szCs w:val="24"/>
        </w:rPr>
        <w:lastRenderedPageBreak/>
        <w:t>This new</w:t>
      </w:r>
      <w:r w:rsidR="00E35084" w:rsidRPr="0057490E">
        <w:rPr>
          <w:rStyle w:val="markedcontent"/>
          <w:szCs w:val="24"/>
        </w:rPr>
        <w:t xml:space="preserve"> section</w:t>
      </w:r>
      <w:r w:rsidR="00E35084" w:rsidRPr="0057490E">
        <w:rPr>
          <w:rStyle w:val="markedcontent"/>
          <w:rFonts w:cs="Arial"/>
          <w:szCs w:val="24"/>
        </w:rPr>
        <w:t xml:space="preserve"> </w:t>
      </w:r>
      <w:r w:rsidR="00F81758">
        <w:rPr>
          <w:rStyle w:val="markedcontent"/>
          <w:rFonts w:cs="Arial"/>
          <w:szCs w:val="24"/>
        </w:rPr>
        <w:t xml:space="preserve">allows for indefinite suspension of an attorney failing to participate in the disciplinary proceedings.  The comment to the rule references </w:t>
      </w:r>
      <w:r w:rsidR="00F81758" w:rsidRPr="00F81758">
        <w:rPr>
          <w:rStyle w:val="markedcontent"/>
          <w:rFonts w:cs="Arial"/>
          <w:i/>
          <w:iCs/>
          <w:szCs w:val="24"/>
        </w:rPr>
        <w:t>Kentucky Bar Association v. Benton</w:t>
      </w:r>
      <w:r w:rsidR="00F81758" w:rsidRPr="00F81758">
        <w:rPr>
          <w:rStyle w:val="markedcontent"/>
          <w:rFonts w:cs="Arial"/>
          <w:szCs w:val="24"/>
        </w:rPr>
        <w:t>, 449 S.W.3d 368</w:t>
      </w:r>
      <w:r w:rsidR="00137CCB">
        <w:rPr>
          <w:rStyle w:val="markedcontent"/>
          <w:rFonts w:cs="Arial"/>
          <w:szCs w:val="24"/>
        </w:rPr>
        <w:t xml:space="preserve"> </w:t>
      </w:r>
      <w:r w:rsidR="00F81758" w:rsidRPr="00F81758">
        <w:rPr>
          <w:rStyle w:val="markedcontent"/>
          <w:rFonts w:cs="Arial"/>
          <w:szCs w:val="24"/>
        </w:rPr>
        <w:t>(Ky. 2014)</w:t>
      </w:r>
      <w:r w:rsidR="00F81758">
        <w:rPr>
          <w:rStyle w:val="markedcontent"/>
          <w:rFonts w:cs="Arial"/>
          <w:szCs w:val="24"/>
        </w:rPr>
        <w:t xml:space="preserve"> where the court </w:t>
      </w:r>
      <w:r w:rsidR="00AA3F81">
        <w:rPr>
          <w:rStyle w:val="markedcontent"/>
          <w:rFonts w:cs="Arial"/>
          <w:szCs w:val="24"/>
        </w:rPr>
        <w:t>indefinitely suspended an attorney</w:t>
      </w:r>
      <w:r w:rsidR="00F81758">
        <w:rPr>
          <w:rStyle w:val="markedcontent"/>
          <w:rFonts w:cs="Arial"/>
          <w:szCs w:val="24"/>
        </w:rPr>
        <w:t xml:space="preserve"> for his failure to answer the disciplinary charges</w:t>
      </w:r>
      <w:r w:rsidR="00AA3F81">
        <w:rPr>
          <w:rStyle w:val="markedcontent"/>
          <w:rFonts w:cs="Arial"/>
          <w:szCs w:val="24"/>
        </w:rPr>
        <w:t xml:space="preserve"> while also acknowledging the rules did not expressly provide for indefinite suspension.</w:t>
      </w:r>
    </w:p>
    <w:p w14:paraId="410DB8BC" w14:textId="11949C4A" w:rsidR="00326768" w:rsidRPr="0057490E" w:rsidRDefault="00AA3F81" w:rsidP="00137CCB">
      <w:pPr>
        <w:pStyle w:val="ListParagraph"/>
        <w:numPr>
          <w:ilvl w:val="2"/>
          <w:numId w:val="1"/>
        </w:numPr>
        <w:rPr>
          <w:rStyle w:val="markedcontent"/>
          <w:szCs w:val="24"/>
        </w:rPr>
      </w:pPr>
      <w:r>
        <w:rPr>
          <w:rStyle w:val="markedcontent"/>
          <w:rFonts w:cs="Arial"/>
          <w:szCs w:val="24"/>
        </w:rPr>
        <w:t>The rule also provides that</w:t>
      </w:r>
      <w:r w:rsidR="00326768" w:rsidRPr="0057490E">
        <w:rPr>
          <w:rStyle w:val="markedcontent"/>
          <w:rFonts w:cs="Arial"/>
          <w:szCs w:val="24"/>
        </w:rPr>
        <w:t xml:space="preserve"> bar counsel </w:t>
      </w:r>
      <w:r w:rsidR="00A83EF6">
        <w:rPr>
          <w:rStyle w:val="markedcontent"/>
          <w:rFonts w:cs="Arial"/>
          <w:szCs w:val="24"/>
        </w:rPr>
        <w:t>may</w:t>
      </w:r>
      <w:r w:rsidR="00326768" w:rsidRPr="0057490E">
        <w:rPr>
          <w:rStyle w:val="markedcontent"/>
          <w:rFonts w:cs="Arial"/>
          <w:szCs w:val="24"/>
        </w:rPr>
        <w:t xml:space="preserve"> move for permanent disbarment if</w:t>
      </w:r>
      <w:r w:rsidR="00A83EF6">
        <w:rPr>
          <w:rStyle w:val="markedcontent"/>
          <w:rFonts w:cs="Arial"/>
          <w:szCs w:val="24"/>
        </w:rPr>
        <w:t xml:space="preserve"> the attorney</w:t>
      </w:r>
      <w:r w:rsidR="00326768" w:rsidRPr="0057490E">
        <w:rPr>
          <w:rStyle w:val="markedcontent"/>
          <w:rFonts w:cs="Arial"/>
          <w:szCs w:val="24"/>
        </w:rPr>
        <w:t xml:space="preserve"> does not seek reinstatement within </w:t>
      </w:r>
      <w:r w:rsidR="00A83EF6">
        <w:rPr>
          <w:rStyle w:val="markedcontent"/>
          <w:rFonts w:cs="Arial"/>
          <w:szCs w:val="24"/>
        </w:rPr>
        <w:t>five (5)</w:t>
      </w:r>
      <w:r w:rsidR="00326768" w:rsidRPr="0057490E">
        <w:rPr>
          <w:rStyle w:val="markedcontent"/>
          <w:rFonts w:cs="Arial"/>
          <w:szCs w:val="24"/>
        </w:rPr>
        <w:t xml:space="preserve"> years</w:t>
      </w:r>
    </w:p>
    <w:p w14:paraId="71ED4D3B" w14:textId="77777777" w:rsidR="00D90A3B" w:rsidRPr="00D90A3B" w:rsidRDefault="00D90A3B" w:rsidP="00D90A3B">
      <w:pPr>
        <w:pStyle w:val="ListParagraph"/>
        <w:numPr>
          <w:ilvl w:val="1"/>
          <w:numId w:val="1"/>
        </w:numPr>
        <w:rPr>
          <w:rStyle w:val="markedcontent"/>
          <w:szCs w:val="24"/>
        </w:rPr>
      </w:pPr>
      <w:r>
        <w:rPr>
          <w:rStyle w:val="markedcontent"/>
          <w:rFonts w:cs="Arial"/>
          <w:szCs w:val="24"/>
        </w:rPr>
        <w:t>Updated reinstatement and restoration rules, including:</w:t>
      </w:r>
    </w:p>
    <w:p w14:paraId="24776C79" w14:textId="4D8BB985" w:rsidR="000B1F78" w:rsidRPr="0057490E" w:rsidRDefault="00180BE8" w:rsidP="00D90A3B">
      <w:pPr>
        <w:pStyle w:val="ListParagraph"/>
        <w:numPr>
          <w:ilvl w:val="2"/>
          <w:numId w:val="1"/>
        </w:numPr>
        <w:rPr>
          <w:rStyle w:val="markedcontent"/>
          <w:szCs w:val="24"/>
        </w:rPr>
      </w:pPr>
      <w:r w:rsidRPr="0057490E">
        <w:rPr>
          <w:rStyle w:val="markedcontent"/>
          <w:rFonts w:cs="Arial"/>
          <w:szCs w:val="24"/>
        </w:rPr>
        <w:t xml:space="preserve">New rules for reinstatement </w:t>
      </w:r>
      <w:r w:rsidR="00A83EF6">
        <w:rPr>
          <w:rStyle w:val="markedcontent"/>
          <w:rFonts w:cs="Arial"/>
          <w:szCs w:val="24"/>
        </w:rPr>
        <w:t>following suspension, with different processes for a 180-day suspension and a 181-days or more suspension</w:t>
      </w:r>
      <w:r w:rsidRPr="0057490E">
        <w:rPr>
          <w:rStyle w:val="markedcontent"/>
          <w:rFonts w:cs="Arial"/>
          <w:szCs w:val="24"/>
        </w:rPr>
        <w:t xml:space="preserve"> (</w:t>
      </w:r>
      <w:r w:rsidR="00D90A3B">
        <w:rPr>
          <w:rStyle w:val="markedcontent"/>
          <w:rFonts w:cs="Arial"/>
          <w:szCs w:val="24"/>
        </w:rPr>
        <w:t xml:space="preserve">SCR </w:t>
      </w:r>
      <w:r w:rsidRPr="0057490E">
        <w:rPr>
          <w:rStyle w:val="markedcontent"/>
          <w:rFonts w:cs="Arial"/>
          <w:szCs w:val="24"/>
        </w:rPr>
        <w:t xml:space="preserve">3.501 and </w:t>
      </w:r>
      <w:r w:rsidR="00D90A3B">
        <w:rPr>
          <w:rStyle w:val="markedcontent"/>
          <w:rFonts w:cs="Arial"/>
          <w:szCs w:val="24"/>
        </w:rPr>
        <w:t xml:space="preserve">SCR </w:t>
      </w:r>
      <w:r w:rsidRPr="0057490E">
        <w:rPr>
          <w:rStyle w:val="markedcontent"/>
          <w:rFonts w:cs="Arial"/>
          <w:szCs w:val="24"/>
        </w:rPr>
        <w:t xml:space="preserve">3.502 </w:t>
      </w:r>
      <w:r w:rsidR="00D90A3B">
        <w:rPr>
          <w:rStyle w:val="markedcontent"/>
          <w:rFonts w:cs="Arial"/>
          <w:szCs w:val="24"/>
        </w:rPr>
        <w:t>which replace</w:t>
      </w:r>
      <w:r w:rsidRPr="0057490E">
        <w:rPr>
          <w:rStyle w:val="markedcontent"/>
          <w:rFonts w:cs="Arial"/>
          <w:szCs w:val="24"/>
        </w:rPr>
        <w:t xml:space="preserve"> </w:t>
      </w:r>
      <w:r w:rsidR="00D90A3B">
        <w:rPr>
          <w:rStyle w:val="markedcontent"/>
          <w:rFonts w:cs="Arial"/>
          <w:szCs w:val="24"/>
        </w:rPr>
        <w:t xml:space="preserve">SCR </w:t>
      </w:r>
      <w:r w:rsidRPr="0057490E">
        <w:rPr>
          <w:rStyle w:val="markedcontent"/>
          <w:rFonts w:cs="Arial"/>
          <w:szCs w:val="24"/>
        </w:rPr>
        <w:t>2.300</w:t>
      </w:r>
      <w:r w:rsidR="00D90A3B">
        <w:rPr>
          <w:rStyle w:val="markedcontent"/>
          <w:rFonts w:cs="Arial"/>
          <w:szCs w:val="24"/>
        </w:rPr>
        <w:t>)</w:t>
      </w:r>
      <w:r w:rsidR="00A83EF6">
        <w:rPr>
          <w:rStyle w:val="markedcontent"/>
          <w:rFonts w:cs="Arial"/>
          <w:szCs w:val="24"/>
        </w:rPr>
        <w:t>;</w:t>
      </w:r>
    </w:p>
    <w:p w14:paraId="174C2C69" w14:textId="59167247" w:rsidR="00D90A3B" w:rsidRPr="00D90A3B" w:rsidRDefault="00D90A3B" w:rsidP="00D90A3B">
      <w:pPr>
        <w:pStyle w:val="ListParagraph"/>
        <w:numPr>
          <w:ilvl w:val="2"/>
          <w:numId w:val="1"/>
        </w:numPr>
        <w:rPr>
          <w:rStyle w:val="markedcontent"/>
          <w:szCs w:val="24"/>
        </w:rPr>
      </w:pPr>
      <w:r>
        <w:rPr>
          <w:rStyle w:val="markedcontent"/>
          <w:rFonts w:cs="Arial"/>
          <w:szCs w:val="24"/>
        </w:rPr>
        <w:t>3.503 Reinstatement standards</w:t>
      </w:r>
      <w:r w:rsidR="00A83EF6">
        <w:rPr>
          <w:rStyle w:val="markedcontent"/>
          <w:rFonts w:cs="Arial"/>
          <w:szCs w:val="24"/>
        </w:rPr>
        <w:t>; and</w:t>
      </w:r>
    </w:p>
    <w:p w14:paraId="65401159" w14:textId="4D2AED53" w:rsidR="000B1F78" w:rsidRPr="00D90A3B" w:rsidRDefault="00D90A3B" w:rsidP="00D90A3B">
      <w:pPr>
        <w:pStyle w:val="ListParagraph"/>
        <w:numPr>
          <w:ilvl w:val="2"/>
          <w:numId w:val="1"/>
        </w:numPr>
        <w:rPr>
          <w:rStyle w:val="markedcontent"/>
          <w:szCs w:val="24"/>
        </w:rPr>
      </w:pPr>
      <w:r>
        <w:rPr>
          <w:rStyle w:val="markedcontent"/>
          <w:rFonts w:cs="Arial"/>
          <w:szCs w:val="24"/>
        </w:rPr>
        <w:t>SCR 3.504 R</w:t>
      </w:r>
      <w:r w:rsidR="000B1F78" w:rsidRPr="00D90A3B">
        <w:rPr>
          <w:rStyle w:val="markedcontent"/>
          <w:rFonts w:cs="Arial"/>
          <w:szCs w:val="24"/>
        </w:rPr>
        <w:t>estoration to membership</w:t>
      </w:r>
      <w:r w:rsidR="00A83EF6">
        <w:rPr>
          <w:rStyle w:val="markedcontent"/>
          <w:rFonts w:cs="Arial"/>
          <w:szCs w:val="24"/>
        </w:rPr>
        <w:t>.</w:t>
      </w:r>
    </w:p>
    <w:p w14:paraId="46646F5D" w14:textId="0A27C20E" w:rsidR="00180BE8" w:rsidRPr="0057490E" w:rsidRDefault="000B1F78" w:rsidP="00EF0881">
      <w:pPr>
        <w:pStyle w:val="ListParagraph"/>
        <w:numPr>
          <w:ilvl w:val="0"/>
          <w:numId w:val="1"/>
        </w:numPr>
        <w:rPr>
          <w:rStyle w:val="markedcontent"/>
          <w:szCs w:val="24"/>
        </w:rPr>
      </w:pPr>
      <w:r w:rsidRPr="0057490E">
        <w:rPr>
          <w:rStyle w:val="markedcontent"/>
          <w:rFonts w:cs="Arial"/>
          <w:szCs w:val="24"/>
        </w:rPr>
        <w:t>3.530 Ethics Committee</w:t>
      </w:r>
    </w:p>
    <w:p w14:paraId="324C3AE0" w14:textId="404DD11A" w:rsidR="000B1F78" w:rsidRPr="0057490E" w:rsidRDefault="00D90A3B" w:rsidP="000B1F78">
      <w:pPr>
        <w:pStyle w:val="ListParagraph"/>
        <w:numPr>
          <w:ilvl w:val="1"/>
          <w:numId w:val="1"/>
        </w:numPr>
        <w:rPr>
          <w:rStyle w:val="markedcontent"/>
          <w:szCs w:val="24"/>
        </w:rPr>
      </w:pPr>
      <w:r>
        <w:rPr>
          <w:rStyle w:val="markedcontent"/>
          <w:rFonts w:cs="Arial"/>
          <w:szCs w:val="24"/>
        </w:rPr>
        <w:t>The amendment a</w:t>
      </w:r>
      <w:r w:rsidR="000B1F78" w:rsidRPr="0057490E">
        <w:rPr>
          <w:rStyle w:val="markedcontent"/>
          <w:rFonts w:cs="Arial"/>
          <w:szCs w:val="24"/>
        </w:rPr>
        <w:t xml:space="preserve">llows </w:t>
      </w:r>
      <w:r>
        <w:rPr>
          <w:rStyle w:val="markedcontent"/>
          <w:rFonts w:cs="Arial"/>
          <w:szCs w:val="24"/>
        </w:rPr>
        <w:t xml:space="preserve">the attorney requesting an informal opinion to </w:t>
      </w:r>
      <w:r w:rsidR="000B1F78" w:rsidRPr="0057490E">
        <w:rPr>
          <w:rStyle w:val="markedcontent"/>
          <w:rFonts w:cs="Arial"/>
          <w:szCs w:val="24"/>
        </w:rPr>
        <w:t>waive</w:t>
      </w:r>
      <w:r>
        <w:rPr>
          <w:rStyle w:val="markedcontent"/>
          <w:rFonts w:cs="Arial"/>
          <w:szCs w:val="24"/>
        </w:rPr>
        <w:t xml:space="preserve"> </w:t>
      </w:r>
      <w:r w:rsidR="000B1F78" w:rsidRPr="0057490E">
        <w:rPr>
          <w:rStyle w:val="markedcontent"/>
          <w:rFonts w:cs="Arial"/>
          <w:szCs w:val="24"/>
        </w:rPr>
        <w:t>confidentiality</w:t>
      </w:r>
    </w:p>
    <w:p w14:paraId="00BA6C0E" w14:textId="332CCFCD" w:rsidR="000B1F78" w:rsidRPr="0057490E" w:rsidRDefault="00AA67C6" w:rsidP="000B1F78">
      <w:pPr>
        <w:pStyle w:val="ListParagraph"/>
        <w:numPr>
          <w:ilvl w:val="0"/>
          <w:numId w:val="1"/>
        </w:numPr>
        <w:rPr>
          <w:rStyle w:val="markedcontent"/>
          <w:szCs w:val="24"/>
        </w:rPr>
      </w:pPr>
      <w:r w:rsidRPr="0057490E">
        <w:rPr>
          <w:rStyle w:val="markedcontent"/>
          <w:rFonts w:cs="Arial"/>
          <w:szCs w:val="24"/>
        </w:rPr>
        <w:t>3.660 Procedure for accreditation of continuing legal education</w:t>
      </w:r>
      <w:r w:rsidRPr="0057490E">
        <w:rPr>
          <w:szCs w:val="24"/>
        </w:rPr>
        <w:br/>
      </w:r>
      <w:r w:rsidRPr="0057490E">
        <w:rPr>
          <w:rStyle w:val="markedcontent"/>
          <w:rFonts w:cs="Arial"/>
          <w:szCs w:val="24"/>
        </w:rPr>
        <w:t>activities and obligations of sponsors</w:t>
      </w:r>
    </w:p>
    <w:p w14:paraId="285948FC" w14:textId="59C332C0" w:rsidR="00AA67C6" w:rsidRPr="0057490E" w:rsidRDefault="00D90A3B" w:rsidP="00AA67C6">
      <w:pPr>
        <w:pStyle w:val="ListParagraph"/>
        <w:numPr>
          <w:ilvl w:val="1"/>
          <w:numId w:val="1"/>
        </w:numPr>
        <w:rPr>
          <w:rStyle w:val="markedcontent"/>
          <w:szCs w:val="24"/>
        </w:rPr>
      </w:pPr>
      <w:r>
        <w:rPr>
          <w:rStyle w:val="markedcontent"/>
          <w:rFonts w:cs="Arial"/>
          <w:szCs w:val="24"/>
        </w:rPr>
        <w:t xml:space="preserve">Provisions </w:t>
      </w:r>
      <w:r w:rsidR="00AA67C6" w:rsidRPr="0057490E">
        <w:rPr>
          <w:rStyle w:val="markedcontent"/>
          <w:rFonts w:cs="Arial"/>
          <w:szCs w:val="24"/>
        </w:rPr>
        <w:t xml:space="preserve">for </w:t>
      </w:r>
      <w:r>
        <w:rPr>
          <w:rStyle w:val="markedcontent"/>
          <w:rFonts w:cs="Arial"/>
          <w:szCs w:val="24"/>
        </w:rPr>
        <w:t xml:space="preserve">sponsor provided </w:t>
      </w:r>
      <w:r w:rsidR="00AA67C6" w:rsidRPr="0057490E">
        <w:rPr>
          <w:rStyle w:val="markedcontent"/>
          <w:rFonts w:cs="Arial"/>
          <w:szCs w:val="24"/>
        </w:rPr>
        <w:t>forms for CLE credits have been removed and it is up to the attorney to report attendance to the CLE committee via the online portal.</w:t>
      </w:r>
    </w:p>
    <w:p w14:paraId="11C67063" w14:textId="065644BE" w:rsidR="00AA67C6" w:rsidRPr="0057490E" w:rsidRDefault="00C54080" w:rsidP="00AA67C6">
      <w:pPr>
        <w:pStyle w:val="ListParagraph"/>
        <w:numPr>
          <w:ilvl w:val="0"/>
          <w:numId w:val="1"/>
        </w:numPr>
        <w:rPr>
          <w:szCs w:val="24"/>
        </w:rPr>
      </w:pPr>
      <w:r w:rsidRPr="0057490E">
        <w:rPr>
          <w:szCs w:val="24"/>
        </w:rPr>
        <w:t>3.690 Continuing Legal Education Award</w:t>
      </w:r>
    </w:p>
    <w:p w14:paraId="3697D51C" w14:textId="1B2F3C2E" w:rsidR="00C54080" w:rsidRPr="0057490E" w:rsidRDefault="00E234EA" w:rsidP="00C54080">
      <w:pPr>
        <w:pStyle w:val="ListParagraph"/>
        <w:numPr>
          <w:ilvl w:val="1"/>
          <w:numId w:val="1"/>
        </w:numPr>
        <w:rPr>
          <w:szCs w:val="24"/>
        </w:rPr>
      </w:pPr>
      <w:r>
        <w:rPr>
          <w:szCs w:val="24"/>
        </w:rPr>
        <w:t>Attorneys earning 20 or more credit hours each year will be a</w:t>
      </w:r>
      <w:r w:rsidR="00C54080" w:rsidRPr="0057490E">
        <w:rPr>
          <w:szCs w:val="24"/>
        </w:rPr>
        <w:t xml:space="preserve">warded </w:t>
      </w:r>
      <w:r w:rsidR="00D56202">
        <w:rPr>
          <w:szCs w:val="24"/>
        </w:rPr>
        <w:t xml:space="preserve">the CLE Award. </w:t>
      </w:r>
      <w:r w:rsidR="00C54080" w:rsidRPr="0057490E">
        <w:rPr>
          <w:szCs w:val="24"/>
        </w:rPr>
        <w:t>(</w:t>
      </w:r>
      <w:r w:rsidR="00C54080" w:rsidRPr="00D56202">
        <w:rPr>
          <w:b/>
          <w:bCs/>
          <w:i/>
          <w:iCs/>
          <w:szCs w:val="24"/>
        </w:rPr>
        <w:t>Plus</w:t>
      </w:r>
      <w:r w:rsidR="00D56202" w:rsidRPr="00D56202">
        <w:rPr>
          <w:b/>
          <w:bCs/>
          <w:i/>
          <w:iCs/>
          <w:szCs w:val="24"/>
        </w:rPr>
        <w:t>,</w:t>
      </w:r>
      <w:r w:rsidR="00C54080" w:rsidRPr="00D56202">
        <w:rPr>
          <w:b/>
          <w:bCs/>
          <w:i/>
          <w:iCs/>
          <w:szCs w:val="24"/>
        </w:rPr>
        <w:t xml:space="preserve"> you </w:t>
      </w:r>
      <w:r w:rsidR="00A83EF6">
        <w:rPr>
          <w:b/>
          <w:bCs/>
          <w:i/>
          <w:iCs/>
          <w:szCs w:val="24"/>
        </w:rPr>
        <w:t>may</w:t>
      </w:r>
      <w:r w:rsidR="00C54080" w:rsidRPr="00D56202">
        <w:rPr>
          <w:b/>
          <w:bCs/>
          <w:i/>
          <w:iCs/>
          <w:szCs w:val="24"/>
        </w:rPr>
        <w:t xml:space="preserve"> get a </w:t>
      </w:r>
      <w:r w:rsidR="00A83EF6">
        <w:rPr>
          <w:b/>
          <w:bCs/>
          <w:i/>
          <w:iCs/>
          <w:szCs w:val="24"/>
        </w:rPr>
        <w:t>credit</w:t>
      </w:r>
      <w:r w:rsidR="00C54080" w:rsidRPr="00D56202">
        <w:rPr>
          <w:b/>
          <w:bCs/>
          <w:i/>
          <w:iCs/>
          <w:szCs w:val="24"/>
        </w:rPr>
        <w:t xml:space="preserve"> on your LMICK </w:t>
      </w:r>
      <w:r w:rsidR="00A83EF6">
        <w:rPr>
          <w:b/>
          <w:bCs/>
          <w:i/>
          <w:iCs/>
          <w:szCs w:val="24"/>
        </w:rPr>
        <w:t>premium</w:t>
      </w:r>
      <w:r w:rsidR="00C54080" w:rsidRPr="00D56202">
        <w:rPr>
          <w:b/>
          <w:bCs/>
          <w:i/>
          <w:iCs/>
          <w:szCs w:val="24"/>
        </w:rPr>
        <w:t>!</w:t>
      </w:r>
      <w:r w:rsidR="00C54080" w:rsidRPr="0057490E">
        <w:rPr>
          <w:szCs w:val="24"/>
        </w:rPr>
        <w:t>)</w:t>
      </w:r>
    </w:p>
    <w:sectPr w:rsidR="00C54080" w:rsidRPr="00574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5260"/>
    <w:multiLevelType w:val="hybridMultilevel"/>
    <w:tmpl w:val="D578F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460C9"/>
    <w:multiLevelType w:val="hybridMultilevel"/>
    <w:tmpl w:val="B1D8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496988">
    <w:abstractNumId w:val="0"/>
  </w:num>
  <w:num w:numId="2" w16cid:durableId="1506750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D2"/>
    <w:rsid w:val="000814C0"/>
    <w:rsid w:val="000A5CD2"/>
    <w:rsid w:val="000B1F78"/>
    <w:rsid w:val="000C1D54"/>
    <w:rsid w:val="00137CCB"/>
    <w:rsid w:val="00180BE8"/>
    <w:rsid w:val="00326768"/>
    <w:rsid w:val="00430F16"/>
    <w:rsid w:val="00485BA0"/>
    <w:rsid w:val="0057490E"/>
    <w:rsid w:val="00673803"/>
    <w:rsid w:val="006B6DD1"/>
    <w:rsid w:val="006F3535"/>
    <w:rsid w:val="00955632"/>
    <w:rsid w:val="00985F89"/>
    <w:rsid w:val="00A83EF6"/>
    <w:rsid w:val="00AA3F81"/>
    <w:rsid w:val="00AA67C6"/>
    <w:rsid w:val="00BD6D77"/>
    <w:rsid w:val="00C54080"/>
    <w:rsid w:val="00D56202"/>
    <w:rsid w:val="00D90A3B"/>
    <w:rsid w:val="00DB40AD"/>
    <w:rsid w:val="00DF35DA"/>
    <w:rsid w:val="00DF4986"/>
    <w:rsid w:val="00DF7A95"/>
    <w:rsid w:val="00E234EA"/>
    <w:rsid w:val="00E35084"/>
    <w:rsid w:val="00E504D8"/>
    <w:rsid w:val="00EF0881"/>
    <w:rsid w:val="00F81758"/>
    <w:rsid w:val="00FC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0954"/>
  <w15:chartTrackingRefBased/>
  <w15:docId w15:val="{E61B84BB-3DA4-4CA0-BB97-255256A2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CD2"/>
    <w:rPr>
      <w:color w:val="0563C1" w:themeColor="hyperlink"/>
      <w:u w:val="single"/>
    </w:rPr>
  </w:style>
  <w:style w:type="character" w:styleId="FollowedHyperlink">
    <w:name w:val="FollowedHyperlink"/>
    <w:basedOn w:val="DefaultParagraphFont"/>
    <w:uiPriority w:val="99"/>
    <w:semiHidden/>
    <w:unhideWhenUsed/>
    <w:rsid w:val="000A5CD2"/>
    <w:rPr>
      <w:color w:val="954F72" w:themeColor="followedHyperlink"/>
      <w:u w:val="single"/>
    </w:rPr>
  </w:style>
  <w:style w:type="paragraph" w:styleId="ListParagraph">
    <w:name w:val="List Paragraph"/>
    <w:basedOn w:val="Normal"/>
    <w:uiPriority w:val="34"/>
    <w:qFormat/>
    <w:rsid w:val="00EF0881"/>
    <w:pPr>
      <w:ind w:left="720"/>
      <w:contextualSpacing/>
    </w:pPr>
  </w:style>
  <w:style w:type="character" w:customStyle="1" w:styleId="markedcontent">
    <w:name w:val="markedcontent"/>
    <w:basedOn w:val="DefaultParagraphFont"/>
    <w:rsid w:val="00EF0881"/>
  </w:style>
  <w:style w:type="character" w:styleId="UnresolvedMention">
    <w:name w:val="Unresolved Mention"/>
    <w:basedOn w:val="DefaultParagraphFont"/>
    <w:uiPriority w:val="99"/>
    <w:semiHidden/>
    <w:unhideWhenUsed/>
    <w:rsid w:val="00BD6D77"/>
    <w:rPr>
      <w:color w:val="605E5C"/>
      <w:shd w:val="clear" w:color="auto" w:fill="E1DFDD"/>
    </w:rPr>
  </w:style>
  <w:style w:type="character" w:styleId="Strong">
    <w:name w:val="Strong"/>
    <w:basedOn w:val="DefaultParagraphFont"/>
    <w:uiPriority w:val="22"/>
    <w:qFormat/>
    <w:rsid w:val="00673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mick.com/item/the-lmick-minute-issue-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ymaws.com/www.kybar.org/resource/resmgr/supremecourt/2021ruleamendmentssc.pdf" TargetMode="External"/><Relationship Id="rId5" Type="http://schemas.openxmlformats.org/officeDocument/2006/relationships/hyperlink" Target="https://cdn.ymaws.com/www.kybar.org/resource/resmgr/supremecourt/adminorder2022-11scramendme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Risk</dc:creator>
  <cp:keywords/>
  <dc:description/>
  <cp:lastModifiedBy>Courtney Risk</cp:lastModifiedBy>
  <cp:revision>19</cp:revision>
  <dcterms:created xsi:type="dcterms:W3CDTF">2022-04-13T19:38:00Z</dcterms:created>
  <dcterms:modified xsi:type="dcterms:W3CDTF">2022-04-18T18:11:00Z</dcterms:modified>
</cp:coreProperties>
</file>